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9E275C" w14:textId="396C1CC2" w:rsidR="00510A9E" w:rsidRPr="002B72A1" w:rsidRDefault="00510A9E" w:rsidP="00510A9E">
      <w:pPr>
        <w:pStyle w:val="xmsonormal"/>
        <w:shd w:val="clear" w:color="auto" w:fill="FFFFFF"/>
        <w:spacing w:before="0" w:after="0" w:line="257" w:lineRule="atLeast"/>
        <w:rPr>
          <w:rFonts w:ascii="Calibri" w:hAnsi="Calibri" w:cs="Calibri"/>
          <w:color w:val="000000"/>
          <w:sz w:val="27"/>
          <w:szCs w:val="27"/>
        </w:rPr>
      </w:pPr>
      <w:r w:rsidRPr="002B72A1">
        <w:rPr>
          <w:rFonts w:ascii="Helvetica" w:hAnsi="Helvetica" w:cs="Calibri"/>
          <w:color w:val="000000"/>
          <w:sz w:val="27"/>
          <w:szCs w:val="27"/>
          <w:bdr w:val="none" w:sz="0" w:space="0" w:color="auto" w:frame="1"/>
        </w:rPr>
        <w:t>Probing the Structural Dynamic properties of Potassium Channel Accessory Protein KCNE3 using EPR Spectroscopy and Molecular Dynamics Modeling</w:t>
      </w:r>
    </w:p>
    <w:p w14:paraId="2758BB02" w14:textId="345D977B" w:rsidR="00510A9E" w:rsidRDefault="00510A9E" w:rsidP="00510A9E">
      <w:pPr>
        <w:pStyle w:val="xmsonormal"/>
        <w:shd w:val="clear" w:color="auto" w:fill="FFFFFF"/>
        <w:spacing w:before="0" w:after="0"/>
        <w:jc w:val="both"/>
        <w:rPr>
          <w:rFonts w:ascii="Calibri" w:hAnsi="Calibri" w:cs="Calibri"/>
          <w:color w:val="000000"/>
          <w:sz w:val="27"/>
          <w:szCs w:val="27"/>
        </w:rPr>
      </w:pPr>
      <w:r w:rsidRPr="002B72A1">
        <w:rPr>
          <w:rFonts w:ascii="Helvetica" w:hAnsi="Helvetica" w:cs="Calibri"/>
          <w:color w:val="000000"/>
          <w:sz w:val="27"/>
          <w:szCs w:val="27"/>
          <w:bdr w:val="none" w:sz="0" w:space="0" w:color="auto" w:frame="1"/>
        </w:rPr>
        <w:t>Samuel Haralu</w:t>
      </w:r>
      <w:r w:rsidRPr="00510A9E">
        <w:rPr>
          <w:rFonts w:ascii="Arial" w:hAnsi="Arial" w:cs="Arial"/>
          <w:color w:val="000000"/>
          <w:sz w:val="27"/>
          <w:szCs w:val="27"/>
          <w:bdr w:val="none" w:sz="0" w:space="0" w:color="auto" w:frame="1"/>
          <w:vertAlign w:val="superscript"/>
        </w:rPr>
        <w:t>§</w:t>
      </w:r>
      <w:r>
        <w:rPr>
          <w:rFonts w:ascii="Helvetica" w:hAnsi="Helvetica" w:cs="Calibri"/>
          <w:b/>
          <w:bCs/>
          <w:color w:val="000000"/>
          <w:sz w:val="27"/>
          <w:szCs w:val="27"/>
          <w:bdr w:val="none" w:sz="0" w:space="0" w:color="auto" w:frame="1"/>
        </w:rPr>
        <w:t>,</w:t>
      </w:r>
      <w:r>
        <w:rPr>
          <w:rFonts w:ascii="Arial" w:hAnsi="Arial" w:cs="Arial"/>
          <w:color w:val="000000"/>
          <w:sz w:val="27"/>
          <w:szCs w:val="27"/>
          <w:bdr w:val="none" w:sz="0" w:space="0" w:color="auto" w:frame="1"/>
        </w:rPr>
        <w:t xml:space="preserve"> Alberto Perez </w:t>
      </w:r>
      <w:proofErr w:type="spellStart"/>
      <w:r>
        <w:rPr>
          <w:rFonts w:ascii="Arial" w:hAnsi="Arial" w:cs="Arial"/>
          <w:color w:val="000000"/>
          <w:sz w:val="27"/>
          <w:szCs w:val="27"/>
          <w:bdr w:val="none" w:sz="0" w:space="0" w:color="auto" w:frame="1"/>
        </w:rPr>
        <w:t>Galende</w:t>
      </w:r>
      <w:proofErr w:type="spellEnd"/>
      <w:r>
        <w:rPr>
          <w:rFonts w:ascii="Arial" w:hAnsi="Arial" w:cs="Arial"/>
          <w:color w:val="000000"/>
          <w:sz w:val="27"/>
          <w:szCs w:val="27"/>
          <w:bdr w:val="none" w:sz="0" w:space="0" w:color="auto" w:frame="1"/>
          <w:vertAlign w:val="superscript"/>
        </w:rPr>
        <w:t>§</w:t>
      </w:r>
      <w:r>
        <w:rPr>
          <w:rFonts w:ascii="Arial" w:hAnsi="Arial" w:cs="Arial"/>
          <w:color w:val="000000"/>
          <w:sz w:val="27"/>
          <w:szCs w:val="27"/>
          <w:bdr w:val="none" w:sz="0" w:space="0" w:color="auto" w:frame="1"/>
        </w:rPr>
        <w:t>, William D. Carbo</w:t>
      </w:r>
      <w:r>
        <w:rPr>
          <w:rFonts w:ascii="Arial" w:hAnsi="Arial" w:cs="Arial"/>
          <w:color w:val="000000"/>
          <w:sz w:val="27"/>
          <w:szCs w:val="27"/>
          <w:bdr w:val="none" w:sz="0" w:space="0" w:color="auto" w:frame="1"/>
          <w:vertAlign w:val="superscript"/>
        </w:rPr>
        <w:t>§</w:t>
      </w:r>
      <w:r>
        <w:rPr>
          <w:rFonts w:ascii="Arial" w:hAnsi="Arial" w:cs="Arial"/>
          <w:color w:val="000000"/>
          <w:sz w:val="27"/>
          <w:szCs w:val="27"/>
          <w:bdr w:val="none" w:sz="0" w:space="0" w:color="auto" w:frame="1"/>
        </w:rPr>
        <w:t xml:space="preserve">, </w:t>
      </w:r>
      <w:r>
        <w:rPr>
          <w:rFonts w:ascii="Arial" w:hAnsi="Arial" w:cs="Arial"/>
          <w:color w:val="323130"/>
          <w:shd w:val="clear" w:color="auto" w:fill="FFFFFF"/>
        </w:rPr>
        <w:t xml:space="preserve">Matthew W. </w:t>
      </w:r>
      <w:proofErr w:type="spellStart"/>
      <w:r>
        <w:rPr>
          <w:rFonts w:ascii="Arial" w:hAnsi="Arial" w:cs="Arial"/>
          <w:color w:val="323130"/>
          <w:shd w:val="clear" w:color="auto" w:fill="FFFFFF"/>
        </w:rPr>
        <w:t>Scheyer</w:t>
      </w:r>
      <w:proofErr w:type="spellEnd"/>
      <w:r>
        <w:rPr>
          <w:rFonts w:ascii="Arial" w:hAnsi="Arial" w:cs="Arial"/>
          <w:color w:val="000000"/>
          <w:sz w:val="27"/>
          <w:szCs w:val="27"/>
          <w:bdr w:val="none" w:sz="0" w:space="0" w:color="auto" w:frame="1"/>
          <w:vertAlign w:val="superscript"/>
        </w:rPr>
        <w:t>§</w:t>
      </w:r>
      <w:r>
        <w:rPr>
          <w:rFonts w:ascii="Arial" w:hAnsi="Arial" w:cs="Arial"/>
          <w:color w:val="323130"/>
          <w:shd w:val="clear" w:color="auto" w:fill="FFFFFF"/>
        </w:rPr>
        <w:t xml:space="preserve">, </w:t>
      </w:r>
      <w:proofErr w:type="spellStart"/>
      <w:r>
        <w:rPr>
          <w:rFonts w:ascii="Arial" w:hAnsi="Arial" w:cs="Arial"/>
          <w:color w:val="000000"/>
          <w:sz w:val="27"/>
          <w:szCs w:val="27"/>
          <w:bdr w:val="none" w:sz="0" w:space="0" w:color="auto" w:frame="1"/>
        </w:rPr>
        <w:t>Irune</w:t>
      </w:r>
      <w:proofErr w:type="spellEnd"/>
      <w:r>
        <w:rPr>
          <w:rFonts w:ascii="Arial" w:hAnsi="Arial" w:cs="Arial"/>
          <w:color w:val="000000"/>
          <w:sz w:val="27"/>
          <w:szCs w:val="27"/>
          <w:bdr w:val="none" w:sz="0" w:space="0" w:color="auto" w:frame="1"/>
        </w:rPr>
        <w:t xml:space="preserve"> Capri </w:t>
      </w:r>
      <w:proofErr w:type="spellStart"/>
      <w:r>
        <w:rPr>
          <w:rFonts w:ascii="Arial" w:hAnsi="Arial" w:cs="Arial"/>
          <w:color w:val="000000"/>
          <w:sz w:val="27"/>
          <w:szCs w:val="27"/>
          <w:bdr w:val="none" w:sz="0" w:space="0" w:color="auto" w:frame="1"/>
        </w:rPr>
        <w:t>Barandiaran</w:t>
      </w:r>
      <w:proofErr w:type="spellEnd"/>
      <w:r>
        <w:rPr>
          <w:rFonts w:ascii="Arial" w:hAnsi="Arial" w:cs="Arial"/>
          <w:color w:val="000000"/>
          <w:sz w:val="27"/>
          <w:szCs w:val="27"/>
          <w:bdr w:val="none" w:sz="0" w:space="0" w:color="auto" w:frame="1"/>
          <w:vertAlign w:val="superscript"/>
        </w:rPr>
        <w:t>§</w:t>
      </w:r>
      <w:r>
        <w:rPr>
          <w:rFonts w:ascii="Arial" w:hAnsi="Arial" w:cs="Arial"/>
          <w:color w:val="000000"/>
          <w:sz w:val="27"/>
          <w:szCs w:val="27"/>
          <w:bdr w:val="none" w:sz="0" w:space="0" w:color="auto" w:frame="1"/>
        </w:rPr>
        <w:t>, Steven Alston</w:t>
      </w:r>
      <w:r>
        <w:rPr>
          <w:rFonts w:ascii="Arial" w:hAnsi="Arial" w:cs="Arial"/>
          <w:color w:val="000000"/>
          <w:sz w:val="27"/>
          <w:szCs w:val="27"/>
          <w:bdr w:val="none" w:sz="0" w:space="0" w:color="auto" w:frame="1"/>
          <w:vertAlign w:val="superscript"/>
        </w:rPr>
        <w:t>§</w:t>
      </w:r>
      <w:r>
        <w:rPr>
          <w:rFonts w:ascii="Arial" w:hAnsi="Arial" w:cs="Arial"/>
          <w:color w:val="000000"/>
          <w:sz w:val="27"/>
          <w:szCs w:val="27"/>
          <w:bdr w:val="none" w:sz="0" w:space="0" w:color="auto" w:frame="1"/>
        </w:rPr>
        <w:t xml:space="preserve">, Gary A. </w:t>
      </w:r>
      <w:proofErr w:type="spellStart"/>
      <w:r>
        <w:rPr>
          <w:rFonts w:ascii="Arial" w:hAnsi="Arial" w:cs="Arial"/>
          <w:color w:val="000000"/>
          <w:sz w:val="27"/>
          <w:szCs w:val="27"/>
          <w:bdr w:val="none" w:sz="0" w:space="0" w:color="auto" w:frame="1"/>
        </w:rPr>
        <w:t>Lorigan</w:t>
      </w:r>
      <w:proofErr w:type="spellEnd"/>
      <w:r>
        <w:rPr>
          <w:rFonts w:ascii="Arial" w:hAnsi="Arial" w:cs="Arial"/>
          <w:color w:val="000000"/>
          <w:sz w:val="27"/>
          <w:szCs w:val="27"/>
          <w:bdr w:val="none" w:sz="0" w:space="0" w:color="auto" w:frame="1"/>
          <w:vertAlign w:val="superscript"/>
        </w:rPr>
        <w:t>‡</w:t>
      </w:r>
      <w:r>
        <w:rPr>
          <w:rFonts w:ascii="Arial" w:hAnsi="Arial" w:cs="Arial"/>
          <w:color w:val="000000"/>
          <w:sz w:val="27"/>
          <w:szCs w:val="27"/>
          <w:bdr w:val="none" w:sz="0" w:space="0" w:color="auto" w:frame="1"/>
        </w:rPr>
        <w:t>, Indra D. Sahu</w:t>
      </w:r>
      <w:r>
        <w:rPr>
          <w:rFonts w:ascii="Arial" w:hAnsi="Arial" w:cs="Arial"/>
          <w:color w:val="000000"/>
          <w:sz w:val="27"/>
          <w:szCs w:val="27"/>
          <w:bdr w:val="none" w:sz="0" w:space="0" w:color="auto" w:frame="1"/>
          <w:vertAlign w:val="superscript"/>
        </w:rPr>
        <w:t>§,‡ </w:t>
      </w:r>
    </w:p>
    <w:p w14:paraId="3B816762" w14:textId="77777777" w:rsidR="002B72A1" w:rsidRDefault="00510A9E" w:rsidP="00510A9E">
      <w:pPr>
        <w:pStyle w:val="xmsonormal"/>
        <w:shd w:val="clear" w:color="auto" w:fill="FFFFFF"/>
        <w:spacing w:before="0" w:after="0"/>
        <w:jc w:val="both"/>
        <w:rPr>
          <w:rFonts w:ascii="Calibri" w:hAnsi="Calibri" w:cs="Calibri"/>
          <w:color w:val="000000"/>
          <w:sz w:val="27"/>
          <w:szCs w:val="27"/>
        </w:rPr>
      </w:pPr>
      <w:r>
        <w:rPr>
          <w:rFonts w:ascii="Arial" w:hAnsi="Arial" w:cs="Arial"/>
          <w:color w:val="000000"/>
          <w:sz w:val="27"/>
          <w:szCs w:val="27"/>
          <w:bdr w:val="none" w:sz="0" w:space="0" w:color="auto" w:frame="1"/>
        </w:rPr>
        <w:t> </w:t>
      </w:r>
    </w:p>
    <w:p w14:paraId="4922A894" w14:textId="53032A7A" w:rsidR="00510A9E" w:rsidRDefault="00510A9E" w:rsidP="00510A9E">
      <w:pPr>
        <w:pStyle w:val="xmsonormal"/>
        <w:shd w:val="clear" w:color="auto" w:fill="FFFFFF"/>
        <w:spacing w:before="0" w:after="0"/>
        <w:jc w:val="both"/>
        <w:rPr>
          <w:rFonts w:ascii="Calibri" w:hAnsi="Calibri" w:cs="Calibri"/>
          <w:color w:val="000000"/>
          <w:sz w:val="27"/>
          <w:szCs w:val="27"/>
        </w:rPr>
      </w:pPr>
      <w:r w:rsidRPr="00510A9E">
        <w:rPr>
          <w:rFonts w:ascii="Arial" w:hAnsi="Arial" w:cs="Arial"/>
          <w:color w:val="000000"/>
          <w:sz w:val="27"/>
          <w:szCs w:val="27"/>
          <w:bdr w:val="none" w:sz="0" w:space="0" w:color="auto" w:frame="1"/>
          <w:vertAlign w:val="superscript"/>
        </w:rPr>
        <w:t>§</w:t>
      </w:r>
      <w:r>
        <w:rPr>
          <w:rFonts w:ascii="Arial" w:hAnsi="Arial" w:cs="Arial"/>
          <w:color w:val="000000"/>
          <w:sz w:val="27"/>
          <w:szCs w:val="27"/>
          <w:bdr w:val="none" w:sz="0" w:space="0" w:color="auto" w:frame="1"/>
        </w:rPr>
        <w:t> Natural Science Division, Campbellsville University, KY, 42718</w:t>
      </w:r>
    </w:p>
    <w:p w14:paraId="51AA16CC" w14:textId="77777777" w:rsidR="00510A9E" w:rsidRDefault="00510A9E" w:rsidP="00510A9E">
      <w:pPr>
        <w:pStyle w:val="xmsonormal"/>
        <w:shd w:val="clear" w:color="auto" w:fill="FFFFFF"/>
        <w:spacing w:before="0" w:beforeAutospacing="0" w:after="0" w:afterAutospacing="0"/>
        <w:rPr>
          <w:rFonts w:ascii="Calibri" w:hAnsi="Calibri" w:cs="Calibri"/>
          <w:color w:val="000000"/>
          <w:sz w:val="27"/>
          <w:szCs w:val="27"/>
        </w:rPr>
      </w:pPr>
      <w:r w:rsidRPr="00510A9E">
        <w:rPr>
          <w:rFonts w:ascii="Arial" w:hAnsi="Arial" w:cs="Arial"/>
          <w:color w:val="000000"/>
          <w:sz w:val="27"/>
          <w:szCs w:val="27"/>
          <w:bdr w:val="none" w:sz="0" w:space="0" w:color="auto" w:frame="1"/>
          <w:vertAlign w:val="superscript"/>
        </w:rPr>
        <w:t>‡</w:t>
      </w:r>
      <w:r>
        <w:rPr>
          <w:rFonts w:ascii="Arial" w:hAnsi="Arial" w:cs="Arial"/>
          <w:color w:val="000000"/>
          <w:sz w:val="27"/>
          <w:szCs w:val="27"/>
          <w:bdr w:val="none" w:sz="0" w:space="0" w:color="auto" w:frame="1"/>
        </w:rPr>
        <w:t> Chemistry and Biochemistry Department, Miami University, OH, 45056</w:t>
      </w:r>
    </w:p>
    <w:p w14:paraId="05397292" w14:textId="77777777" w:rsidR="00510A9E" w:rsidRPr="00CB664A" w:rsidRDefault="00510A9E" w:rsidP="00510A9E">
      <w:pPr>
        <w:pStyle w:val="xmsonormal"/>
        <w:shd w:val="clear" w:color="auto" w:fill="FFFFFF"/>
        <w:spacing w:before="0" w:beforeAutospacing="0" w:after="0" w:afterAutospacing="0"/>
        <w:rPr>
          <w:rFonts w:ascii="Helvetica" w:hAnsi="Helvetica" w:cs="Calibri"/>
          <w:color w:val="000000"/>
          <w:sz w:val="28"/>
          <w:szCs w:val="28"/>
        </w:rPr>
      </w:pPr>
      <w:r>
        <w:rPr>
          <w:rFonts w:ascii="Arial" w:hAnsi="Arial" w:cs="Arial"/>
          <w:color w:val="000000"/>
          <w:sz w:val="27"/>
          <w:szCs w:val="27"/>
          <w:bdr w:val="none" w:sz="0" w:space="0" w:color="auto" w:frame="1"/>
        </w:rPr>
        <w:t> </w:t>
      </w:r>
    </w:p>
    <w:p w14:paraId="029441A4" w14:textId="77777777" w:rsidR="00CB664A" w:rsidRPr="00CB664A" w:rsidRDefault="00CB664A" w:rsidP="00CB664A">
      <w:pPr>
        <w:spacing w:after="0" w:line="240" w:lineRule="auto"/>
        <w:rPr>
          <w:rFonts w:ascii="Helvetica" w:eastAsia="Times New Roman" w:hAnsi="Helvetica" w:cs="Times New Roman"/>
          <w:sz w:val="27"/>
          <w:szCs w:val="27"/>
        </w:rPr>
      </w:pPr>
      <w:r w:rsidRPr="00CB664A">
        <w:rPr>
          <w:rFonts w:ascii="Helvetica" w:eastAsia="Times New Roman" w:hAnsi="Helvetica" w:cs="Times New Roman"/>
          <w:color w:val="201F1E"/>
          <w:sz w:val="27"/>
          <w:szCs w:val="27"/>
          <w:shd w:val="clear" w:color="auto" w:fill="FFFFFF"/>
        </w:rPr>
        <w:t xml:space="preserve">KCNE3 is a single transmembrane accessory protein that modulates the voltage-gated potassium ion channel, KCNQ1. KCNE3 is expressed in the colon, small intestine, specific types of cells in the stomach, and all regions of the human heart. Hereditary mutations on this protein are linked to several diseases like Long-QT syndrome, Atrial fibrillation, Manière’s disease, etc. Information on this protein is limited, but the potential association with disease amplifies the importance of studying the properties of this transmembrane protein. So far, some studies have been done in micelles and isotropic </w:t>
      </w:r>
      <w:proofErr w:type="spellStart"/>
      <w:r w:rsidRPr="00CB664A">
        <w:rPr>
          <w:rFonts w:ascii="Helvetica" w:eastAsia="Times New Roman" w:hAnsi="Helvetica" w:cs="Times New Roman"/>
          <w:color w:val="201F1E"/>
          <w:sz w:val="27"/>
          <w:szCs w:val="27"/>
          <w:shd w:val="clear" w:color="auto" w:fill="FFFFFF"/>
        </w:rPr>
        <w:t>bicelles</w:t>
      </w:r>
      <w:proofErr w:type="spellEnd"/>
      <w:r w:rsidRPr="00CB664A">
        <w:rPr>
          <w:rFonts w:ascii="Helvetica" w:eastAsia="Times New Roman" w:hAnsi="Helvetica" w:cs="Times New Roman"/>
          <w:color w:val="201F1E"/>
          <w:sz w:val="27"/>
          <w:szCs w:val="27"/>
          <w:shd w:val="clear" w:color="auto" w:fill="FFFFFF"/>
        </w:rPr>
        <w:t>, giving us insight into its function. However, these </w:t>
      </w:r>
      <w:r w:rsidRPr="00CB664A">
        <w:rPr>
          <w:rFonts w:ascii="Helvetica" w:eastAsia="Times New Roman" w:hAnsi="Helvetica" w:cs="Times New Roman"/>
          <w:color w:val="000000"/>
          <w:sz w:val="27"/>
          <w:szCs w:val="27"/>
          <w:shd w:val="clear" w:color="auto" w:fill="FFFFFF"/>
        </w:rPr>
        <w:t>studies</w:t>
      </w:r>
      <w:r w:rsidRPr="00CB664A">
        <w:rPr>
          <w:rFonts w:ascii="Helvetica" w:eastAsia="Times New Roman" w:hAnsi="Helvetica" w:cs="Times New Roman"/>
          <w:color w:val="201F1E"/>
          <w:sz w:val="27"/>
          <w:szCs w:val="27"/>
          <w:shd w:val="clear" w:color="auto" w:fill="FFFFFF"/>
        </w:rPr>
        <w:t> have not been performed in their native membrane environments which implies the potential for limited characterization. This study seeks to probe structural and dynamic properties of KCNE3 in its native environment. It also seeks to compare the backbone fluctuation of different sections of KCNE3 in lipid bilayers through route mean square deviation (RMSD) within the transmembrane domain and the extracellular domain of KCNE3. To achieve this, we have optimized sample preparation for successful overexpression, purification, MTSL spin labeling, and incorporation of KCNE3 into POPC/POPG liposomes and performed CW-EPR experiments. Our initial CW-EPR spectral line shape analysis and molecular dynamics simulation data suggest slower motion of the protein in a lipid bilayer environment when compared to micelles. It also suggested that the spin label sidechain motion of transmembrane domain of KCNE3 is restricted when compared to that in extracellular region of KCNE3 which is consistent with previous structural studies.</w:t>
      </w:r>
    </w:p>
    <w:p w14:paraId="2A13C1BA" w14:textId="3F88EA60" w:rsidR="00FB2288" w:rsidRDefault="00FB2288" w:rsidP="00CB664A">
      <w:bookmarkStart w:id="0" w:name="_GoBack"/>
      <w:bookmarkEnd w:id="0"/>
    </w:p>
    <w:sectPr w:rsidR="00FB22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288"/>
    <w:rsid w:val="001C1681"/>
    <w:rsid w:val="00287C94"/>
    <w:rsid w:val="002B72A1"/>
    <w:rsid w:val="002F126D"/>
    <w:rsid w:val="004E7119"/>
    <w:rsid w:val="00510A9E"/>
    <w:rsid w:val="00904FBC"/>
    <w:rsid w:val="009A79E6"/>
    <w:rsid w:val="00A64AFE"/>
    <w:rsid w:val="00CB664A"/>
    <w:rsid w:val="00FA1A14"/>
    <w:rsid w:val="00FB22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A32CA9"/>
  <w15:chartTrackingRefBased/>
  <w15:docId w15:val="{2691B68A-2DDE-4AF9-A422-8EFF7347E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510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B66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9271190">
      <w:bodyDiv w:val="1"/>
      <w:marLeft w:val="0"/>
      <w:marRight w:val="0"/>
      <w:marTop w:val="0"/>
      <w:marBottom w:val="0"/>
      <w:divBdr>
        <w:top w:val="none" w:sz="0" w:space="0" w:color="auto"/>
        <w:left w:val="none" w:sz="0" w:space="0" w:color="auto"/>
        <w:bottom w:val="none" w:sz="0" w:space="0" w:color="auto"/>
        <w:right w:val="none" w:sz="0" w:space="0" w:color="auto"/>
      </w:divBdr>
    </w:div>
    <w:div w:id="1805730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319</Words>
  <Characters>1820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Sahu, Indra</dc:creator>
  <cp:keywords/>
  <dc:description/>
  <cp:lastModifiedBy>Microsoft Office User</cp:lastModifiedBy>
  <cp:revision>14</cp:revision>
  <dcterms:created xsi:type="dcterms:W3CDTF">2020-09-30T23:48:00Z</dcterms:created>
  <dcterms:modified xsi:type="dcterms:W3CDTF">2020-10-01T22:17:00Z</dcterms:modified>
</cp:coreProperties>
</file>