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C75" w:rsidRPr="005A1C75" w:rsidRDefault="005A1C75" w:rsidP="005A1C75">
      <w:pPr>
        <w:rPr>
          <w:b/>
        </w:rPr>
      </w:pPr>
      <w:r w:rsidRPr="005A1C75">
        <w:rPr>
          <w:b/>
        </w:rPr>
        <w:t>NADPH oxidase-derived ROS regulate TLR2 responses in mouse dendritic cells</w:t>
      </w:r>
    </w:p>
    <w:p w:rsidR="005A1C75" w:rsidRDefault="005A1C75" w:rsidP="008D54A5">
      <w:pPr>
        <w:rPr>
          <w:lang w:val="en-CA"/>
        </w:rPr>
      </w:pPr>
    </w:p>
    <w:p w:rsidR="008D54A5" w:rsidRPr="008D54A5" w:rsidRDefault="008D54A5" w:rsidP="008D54A5">
      <w:r w:rsidRPr="008D54A5">
        <w:rPr>
          <w:lang w:val="en-CA"/>
        </w:rPr>
        <w:t>The leukocyte NADPH oxidase is a multi-subunit enzyme that generates superoxide (O</w:t>
      </w:r>
      <w:r w:rsidRPr="008D54A5">
        <w:rPr>
          <w:vertAlign w:val="subscript"/>
          <w:lang w:val="en-CA"/>
        </w:rPr>
        <w:t>2</w:t>
      </w:r>
      <w:r w:rsidRPr="008D54A5">
        <w:rPr>
          <w:vertAlign w:val="superscript"/>
          <w:lang w:val="en-CA"/>
        </w:rPr>
        <w:t>-</w:t>
      </w:r>
      <w:r w:rsidRPr="008D54A5">
        <w:rPr>
          <w:lang w:val="en-CA"/>
        </w:rPr>
        <w:t xml:space="preserve">), which is rapidly converted to </w:t>
      </w:r>
      <w:bookmarkStart w:id="0" w:name="_GoBack"/>
      <w:bookmarkEnd w:id="0"/>
      <w:r w:rsidRPr="008D54A5">
        <w:rPr>
          <w:lang w:val="en-CA"/>
        </w:rPr>
        <w:t xml:space="preserve">antimicrobial reactive oxygen species (ROS). Mutations in NADPH oxidase subunit alleles that ablate enzyme function cause chronic granulomatous disease (CGD), an immunodeficiency characterized by life-threatening bacterial or fungal infections, and granulomatous inflammatory complications in the gastro-intestinal and respiratory tracts unrelated to infection.  Independent of its role in microbial killing, ROS are essential for immune regulation. An emerging amount of evidence now links </w:t>
      </w:r>
      <w:proofErr w:type="spellStart"/>
      <w:r w:rsidRPr="008D54A5">
        <w:rPr>
          <w:lang w:val="en-CA"/>
        </w:rPr>
        <w:t>hypomorphic</w:t>
      </w:r>
      <w:proofErr w:type="spellEnd"/>
      <w:r w:rsidRPr="008D54A5">
        <w:rPr>
          <w:lang w:val="en-CA"/>
        </w:rPr>
        <w:t xml:space="preserve"> NADPH oxidase alleles with enhanced susceptibility for multiple chronic inflammatory and autoimmune disorders. However, a mechanistic understanding of how NADPH oxidase-derived ROS regulate inflammation is still largely lacking.  We determined whether NADPH oxidase regulates inflammatory responses downstream of Toll like receptor (TLR) stimulation. Bone marrow-derived dendritic cells (BMDCs) from wild type (WT) or </w:t>
      </w:r>
      <w:proofErr w:type="spellStart"/>
      <w:r w:rsidRPr="008D54A5">
        <w:rPr>
          <w:i/>
          <w:iCs/>
          <w:lang w:val="en-CA"/>
        </w:rPr>
        <w:t>Cybb</w:t>
      </w:r>
      <w:proofErr w:type="spellEnd"/>
      <w:r w:rsidRPr="008D54A5">
        <w:rPr>
          <w:i/>
          <w:iCs/>
          <w:vertAlign w:val="superscript"/>
          <w:lang w:val="en-CA"/>
        </w:rPr>
        <w:t>-/-</w:t>
      </w:r>
      <w:r w:rsidRPr="008D54A5">
        <w:rPr>
          <w:lang w:val="en-CA"/>
        </w:rPr>
        <w:t xml:space="preserve"> mice that lack NADPH oxidase function due to deletion of </w:t>
      </w:r>
      <w:proofErr w:type="spellStart"/>
      <w:r w:rsidRPr="008D54A5">
        <w:rPr>
          <w:i/>
          <w:iCs/>
          <w:lang w:val="en-CA"/>
        </w:rPr>
        <w:t>Cybb</w:t>
      </w:r>
      <w:proofErr w:type="spellEnd"/>
      <w:r w:rsidRPr="008D54A5">
        <w:rPr>
          <w:lang w:val="en-CA"/>
        </w:rPr>
        <w:t xml:space="preserve"> (codes for gp91</w:t>
      </w:r>
      <w:r w:rsidRPr="008D54A5">
        <w:rPr>
          <w:i/>
          <w:iCs/>
          <w:vertAlign w:val="superscript"/>
          <w:lang w:val="en-CA"/>
        </w:rPr>
        <w:t>phox</w:t>
      </w:r>
      <w:r w:rsidRPr="008D54A5">
        <w:rPr>
          <w:lang w:val="en-CA"/>
        </w:rPr>
        <w:t xml:space="preserve">) were stimulated with TLR2 agonist Pam3CSK4, and inflammatory cytokine expression was determined by quantitative PCR (qPCR) and ELISA.  BMDCs from </w:t>
      </w:r>
      <w:proofErr w:type="spellStart"/>
      <w:r w:rsidRPr="008D54A5">
        <w:rPr>
          <w:lang w:val="en-CA"/>
        </w:rPr>
        <w:t>Cybb</w:t>
      </w:r>
      <w:proofErr w:type="spellEnd"/>
      <w:r w:rsidRPr="008D54A5">
        <w:rPr>
          <w:vertAlign w:val="superscript"/>
          <w:lang w:val="en-CA"/>
        </w:rPr>
        <w:t xml:space="preserve">-/-  </w:t>
      </w:r>
      <w:r w:rsidRPr="008D54A5">
        <w:rPr>
          <w:lang w:val="en-CA"/>
        </w:rPr>
        <w:t>and WT mice had similar surface expression of TLR2 as well as co-stimulatory molecules CD80, MHC-I, and MHC-II. Pam3CSK4 induced TLR2 stimulation strongly activated NADPH oxidase resulting in ROS production in WT BMDCs measured by lucigenin elicited chemiluminescence. Q-PCR analysis showed similar levels of pro-inflammatory cytokine transcripts (</w:t>
      </w:r>
      <w:r w:rsidRPr="008D54A5">
        <w:rPr>
          <w:i/>
          <w:iCs/>
          <w:lang w:val="en-CA"/>
        </w:rPr>
        <w:t>TNF-</w:t>
      </w:r>
      <w:r w:rsidRPr="008D54A5">
        <w:rPr>
          <w:i/>
          <w:iCs/>
          <w:lang w:val="el-GR"/>
        </w:rPr>
        <w:t>α</w:t>
      </w:r>
      <w:r w:rsidRPr="008D54A5">
        <w:rPr>
          <w:i/>
          <w:iCs/>
          <w:lang w:val="en-CA"/>
        </w:rPr>
        <w:t>, IL-1b, and IL-6</w:t>
      </w:r>
      <w:r w:rsidRPr="008D54A5">
        <w:rPr>
          <w:lang w:val="en-CA"/>
        </w:rPr>
        <w:t xml:space="preserve">) on TLR2 stimulation within the two genotypes, indicating ROS production does not influence transcriptional responses in BMDCs. However, </w:t>
      </w:r>
      <w:proofErr w:type="spellStart"/>
      <w:r w:rsidRPr="008D54A5">
        <w:rPr>
          <w:i/>
          <w:iCs/>
          <w:lang w:val="en-CA"/>
        </w:rPr>
        <w:t>Cybb</w:t>
      </w:r>
      <w:proofErr w:type="spellEnd"/>
      <w:r w:rsidRPr="008D54A5">
        <w:rPr>
          <w:i/>
          <w:iCs/>
          <w:vertAlign w:val="superscript"/>
          <w:lang w:val="en-CA"/>
        </w:rPr>
        <w:t>-/-</w:t>
      </w:r>
      <w:r w:rsidRPr="008D54A5">
        <w:rPr>
          <w:lang w:val="en-CA"/>
        </w:rPr>
        <w:t xml:space="preserve"> BMDCs expressed elevated protein levels of pro-inflammatory cytokine</w:t>
      </w:r>
      <w:r w:rsidRPr="008D54A5">
        <w:rPr>
          <w:i/>
          <w:iCs/>
          <w:lang w:val="en-CA"/>
        </w:rPr>
        <w:t xml:space="preserve"> </w:t>
      </w:r>
      <w:r w:rsidRPr="008D54A5">
        <w:rPr>
          <w:lang w:val="en-CA"/>
        </w:rPr>
        <w:t>IL-6 and TNF-</w:t>
      </w:r>
      <w:r w:rsidRPr="008D54A5">
        <w:rPr>
          <w:lang w:val="el-GR"/>
        </w:rPr>
        <w:t>α</w:t>
      </w:r>
      <w:r w:rsidRPr="008D54A5">
        <w:rPr>
          <w:lang w:val="en-CA"/>
        </w:rPr>
        <w:t xml:space="preserve"> (ELISA) compared to WT BMDCs.  These data demonstrate hyper-inflammatory responses in </w:t>
      </w:r>
      <w:proofErr w:type="spellStart"/>
      <w:r w:rsidRPr="008D54A5">
        <w:rPr>
          <w:i/>
          <w:iCs/>
          <w:lang w:val="en-CA"/>
        </w:rPr>
        <w:t>Cybb</w:t>
      </w:r>
      <w:proofErr w:type="spellEnd"/>
      <w:r w:rsidRPr="008D54A5">
        <w:rPr>
          <w:i/>
          <w:iCs/>
          <w:vertAlign w:val="superscript"/>
          <w:lang w:val="en-CA"/>
        </w:rPr>
        <w:t>-/-</w:t>
      </w:r>
      <w:r w:rsidRPr="008D54A5">
        <w:rPr>
          <w:lang w:val="en-CA"/>
        </w:rPr>
        <w:t xml:space="preserve"> BMDCs are partly driven by overt production of pro-inflammatory cytokines. Future studies will determine redox-regulated signaling proteins and pathways activated by TLR2 that are regulated by NADPH oxidase derived-ROS. Overall our preliminary studies indicate a counterintuitive role for oxidants in modulating host inflammatory responses. These studies are essential for understanding the mechanistic basis underlying hyper-inflammatory complications observed in CGD patients. </w:t>
      </w:r>
    </w:p>
    <w:p w:rsidR="008D54A5" w:rsidRPr="008D54A5" w:rsidRDefault="008D54A5" w:rsidP="008D54A5">
      <w:r w:rsidRPr="008D54A5">
        <w:t> </w:t>
      </w:r>
    </w:p>
    <w:p w:rsidR="008D54A5" w:rsidRDefault="008D54A5" w:rsidP="008D54A5"/>
    <w:p w:rsidR="001E4134" w:rsidRDefault="005A1C75"/>
    <w:sectPr w:rsidR="001E4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A7"/>
    <w:rsid w:val="000106D5"/>
    <w:rsid w:val="005A1C75"/>
    <w:rsid w:val="0067071C"/>
    <w:rsid w:val="006C4F92"/>
    <w:rsid w:val="006C5816"/>
    <w:rsid w:val="008D54A5"/>
    <w:rsid w:val="00933EA6"/>
    <w:rsid w:val="00A441C3"/>
    <w:rsid w:val="00B20666"/>
    <w:rsid w:val="00E479E2"/>
    <w:rsid w:val="00E8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71ABC"/>
  <w15:chartTrackingRefBased/>
  <w15:docId w15:val="{ED17486F-CE2D-41AB-AFBB-8C27E757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Bahnsen</dc:creator>
  <cp:keywords/>
  <dc:description/>
  <cp:lastModifiedBy>Morgan Bahnsen</cp:lastModifiedBy>
  <cp:revision>2</cp:revision>
  <dcterms:created xsi:type="dcterms:W3CDTF">2017-09-20T17:13:00Z</dcterms:created>
  <dcterms:modified xsi:type="dcterms:W3CDTF">2017-09-20T17:28:00Z</dcterms:modified>
</cp:coreProperties>
</file>