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BD2776" w14:textId="77777777" w:rsidR="00362E11" w:rsidRDefault="00F273C3" w:rsidP="00673D5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Title: </w:t>
      </w:r>
      <w:r w:rsidR="00E10CFE">
        <w:rPr>
          <w:sz w:val="24"/>
          <w:szCs w:val="24"/>
        </w:rPr>
        <w:t>Gene expression differe</w:t>
      </w:r>
      <w:bookmarkStart w:id="0" w:name="_GoBack"/>
      <w:bookmarkEnd w:id="0"/>
      <w:r w:rsidR="00E10CFE">
        <w:rPr>
          <w:sz w:val="24"/>
          <w:szCs w:val="24"/>
        </w:rPr>
        <w:t>nces following early life exposure to polychlorinated biphenyls in three genotypes of mice</w:t>
      </w:r>
    </w:p>
    <w:p w14:paraId="779FC875" w14:textId="77777777" w:rsidR="00F273C3" w:rsidRDefault="00362E11" w:rsidP="00673D55">
      <w:pPr>
        <w:jc w:val="both"/>
        <w:rPr>
          <w:sz w:val="24"/>
          <w:szCs w:val="24"/>
        </w:rPr>
      </w:pPr>
      <w:r>
        <w:rPr>
          <w:sz w:val="24"/>
          <w:szCs w:val="24"/>
        </w:rPr>
        <w:t>Authors:</w:t>
      </w:r>
      <w:r w:rsidR="00E10CFE">
        <w:rPr>
          <w:sz w:val="24"/>
          <w:szCs w:val="24"/>
        </w:rPr>
        <w:t xml:space="preserve"> Yislain Villalona, </w:t>
      </w:r>
      <w:proofErr w:type="spellStart"/>
      <w:r w:rsidR="00E10CFE">
        <w:rPr>
          <w:sz w:val="24"/>
          <w:szCs w:val="24"/>
        </w:rPr>
        <w:t>Kesley</w:t>
      </w:r>
      <w:proofErr w:type="spellEnd"/>
      <w:r w:rsidR="00E10CFE">
        <w:rPr>
          <w:sz w:val="24"/>
          <w:szCs w:val="24"/>
        </w:rPr>
        <w:t xml:space="preserve"> </w:t>
      </w:r>
      <w:proofErr w:type="spellStart"/>
      <w:r w:rsidR="00E10CFE">
        <w:rPr>
          <w:sz w:val="24"/>
          <w:szCs w:val="24"/>
        </w:rPr>
        <w:t>Klinefelter</w:t>
      </w:r>
      <w:proofErr w:type="spellEnd"/>
      <w:r w:rsidR="00E10CFE">
        <w:rPr>
          <w:sz w:val="24"/>
          <w:szCs w:val="24"/>
        </w:rPr>
        <w:t>, Breann Colter, Alexandra Dailey and</w:t>
      </w:r>
      <w:r>
        <w:rPr>
          <w:sz w:val="24"/>
          <w:szCs w:val="24"/>
        </w:rPr>
        <w:t xml:space="preserve"> Christine Perdan Curran</w:t>
      </w:r>
      <w:r w:rsidR="001A4475">
        <w:rPr>
          <w:sz w:val="24"/>
          <w:szCs w:val="24"/>
        </w:rPr>
        <w:tab/>
      </w:r>
    </w:p>
    <w:p w14:paraId="47DA349A" w14:textId="77777777" w:rsidR="004E154A" w:rsidRPr="00790B84" w:rsidRDefault="00E10CFE" w:rsidP="00673D55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Polychlorinated biphenyls are persistent organic pollutants widely known to affect the developing brain. Our previous work revealed that allelic differences in the aryl hydrocarbon receptor </w:t>
      </w:r>
      <w:r w:rsidRPr="00E10CFE">
        <w:rPr>
          <w:sz w:val="24"/>
          <w:szCs w:val="24"/>
        </w:rPr>
        <w:t xml:space="preserve">and cytochrome P450 1A2 (CYP1A2) affect susceptibility to developmental PCB exposure, resulting in cognitive deficits and motor dysfunction. High-affinity </w:t>
      </w:r>
      <w:r w:rsidRPr="00E10CFE">
        <w:rPr>
          <w:i/>
          <w:sz w:val="24"/>
          <w:szCs w:val="24"/>
        </w:rPr>
        <w:t>Ahr</w:t>
      </w:r>
      <w:r w:rsidRPr="00E10CFE">
        <w:rPr>
          <w:i/>
          <w:sz w:val="24"/>
          <w:szCs w:val="24"/>
          <w:vertAlign w:val="superscript"/>
        </w:rPr>
        <w:t>b</w:t>
      </w:r>
      <w:r w:rsidRPr="00E10CFE">
        <w:rPr>
          <w:i/>
          <w:sz w:val="24"/>
          <w:szCs w:val="24"/>
        </w:rPr>
        <w:t>Cyp1a2(-/-)</w:t>
      </w:r>
      <w:r w:rsidRPr="00E10CFE">
        <w:rPr>
          <w:sz w:val="24"/>
          <w:szCs w:val="24"/>
        </w:rPr>
        <w:t xml:space="preserve"> mice were most susceptible compared with poor-affinity </w:t>
      </w:r>
      <w:r w:rsidRPr="00E10CFE">
        <w:rPr>
          <w:i/>
          <w:sz w:val="24"/>
          <w:szCs w:val="24"/>
        </w:rPr>
        <w:t>Ahr</w:t>
      </w:r>
      <w:r w:rsidRPr="00E10CFE">
        <w:rPr>
          <w:i/>
          <w:sz w:val="24"/>
          <w:szCs w:val="24"/>
          <w:vertAlign w:val="superscript"/>
        </w:rPr>
        <w:t>d</w:t>
      </w:r>
      <w:r w:rsidRPr="00E10CFE">
        <w:rPr>
          <w:i/>
          <w:sz w:val="24"/>
          <w:szCs w:val="24"/>
        </w:rPr>
        <w:t>Cyp1a2(-/-)</w:t>
      </w:r>
      <w:r w:rsidRPr="00E10CFE">
        <w:rPr>
          <w:sz w:val="24"/>
          <w:szCs w:val="24"/>
        </w:rPr>
        <w:t xml:space="preserve"> and wild type </w:t>
      </w:r>
      <w:r w:rsidRPr="00E10CFE">
        <w:rPr>
          <w:i/>
          <w:sz w:val="24"/>
          <w:szCs w:val="24"/>
        </w:rPr>
        <w:t>Ahr</w:t>
      </w:r>
      <w:r w:rsidRPr="00E10CFE">
        <w:rPr>
          <w:i/>
          <w:sz w:val="24"/>
          <w:szCs w:val="24"/>
          <w:vertAlign w:val="superscript"/>
        </w:rPr>
        <w:t>b</w:t>
      </w:r>
      <w:r w:rsidRPr="00E10CFE">
        <w:rPr>
          <w:i/>
          <w:sz w:val="24"/>
          <w:szCs w:val="24"/>
        </w:rPr>
        <w:t>Cyp1a2(+/+)</w:t>
      </w:r>
      <w:r w:rsidRPr="00E10CFE">
        <w:rPr>
          <w:sz w:val="24"/>
          <w:szCs w:val="24"/>
        </w:rPr>
        <w:t xml:space="preserve"> mice. Our follow-up studies assessed biochemical, histological and gene expression changes to identify the brain regions and pathways affected. </w:t>
      </w:r>
      <w:r>
        <w:rPr>
          <w:sz w:val="24"/>
          <w:szCs w:val="24"/>
        </w:rPr>
        <w:t>T</w:t>
      </w:r>
      <w:r w:rsidRPr="00E10CFE">
        <w:rPr>
          <w:sz w:val="24"/>
          <w:szCs w:val="24"/>
        </w:rPr>
        <w:t xml:space="preserve">he greatest changes were seen in the cerebellum where a foliation defect was over-represented in </w:t>
      </w:r>
      <w:r w:rsidRPr="00E10CFE">
        <w:rPr>
          <w:i/>
          <w:sz w:val="24"/>
          <w:szCs w:val="24"/>
        </w:rPr>
        <w:t>Cyp1a2(-/-)</w:t>
      </w:r>
      <w:r w:rsidRPr="00E10CFE">
        <w:rPr>
          <w:sz w:val="24"/>
          <w:szCs w:val="24"/>
        </w:rPr>
        <w:t xml:space="preserve"> mice. In contrast, we found no difference in tyrosine hydroxylase immuno-staining in the striatum. </w:t>
      </w:r>
      <w:r>
        <w:rPr>
          <w:sz w:val="24"/>
          <w:szCs w:val="24"/>
        </w:rPr>
        <w:t xml:space="preserve">Tyrosine hydroxylase is the rate-limiting enzyme for dopamine production, and this pathway is disrupted in Parkinson’s disease. </w:t>
      </w:r>
      <w:r w:rsidRPr="00E10CFE">
        <w:rPr>
          <w:sz w:val="24"/>
          <w:szCs w:val="24"/>
        </w:rPr>
        <w:t>Gene expression patterns varied across the three genotypes, but there was clear evidence of AHR activation. Together, our data suggest that the AHR pathway plays a role in developmental PCB neurotoxicity, but we found little evidence that developmental exposure is a risk factor for Parkinson’s disease.</w:t>
      </w:r>
    </w:p>
    <w:sectPr w:rsidR="004E154A" w:rsidRPr="00790B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475"/>
    <w:rsid w:val="001A4475"/>
    <w:rsid w:val="003579B6"/>
    <w:rsid w:val="00362E11"/>
    <w:rsid w:val="004E154A"/>
    <w:rsid w:val="005112E3"/>
    <w:rsid w:val="00673D55"/>
    <w:rsid w:val="00790B84"/>
    <w:rsid w:val="00851F4D"/>
    <w:rsid w:val="008973F4"/>
    <w:rsid w:val="009A1C75"/>
    <w:rsid w:val="00A82DD3"/>
    <w:rsid w:val="00CE0E2E"/>
    <w:rsid w:val="00D708DB"/>
    <w:rsid w:val="00E10CFE"/>
    <w:rsid w:val="00F27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734B91"/>
  <w15:chartTrackingRefBased/>
  <w15:docId w15:val="{CA8B1622-C2B3-4832-B745-ACA67C6B6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220</Words>
  <Characters>1257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NKU</Company>
  <LinksUpToDate>false</LinksUpToDate>
  <CharactersWithSpaces>1475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Tamika Chappell</dc:creator>
  <cp:keywords/>
  <dc:description/>
  <cp:lastModifiedBy>Yislain Villalona</cp:lastModifiedBy>
  <cp:revision>2</cp:revision>
  <dcterms:created xsi:type="dcterms:W3CDTF">2017-09-29T14:55:00Z</dcterms:created>
  <dcterms:modified xsi:type="dcterms:W3CDTF">2017-09-29T14:55:00Z</dcterms:modified>
</cp:coreProperties>
</file>