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2" w:rsidRPr="00467E00" w:rsidRDefault="00467E00" w:rsidP="008A1B5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Evaluation of </w:t>
      </w:r>
      <w:r w:rsidR="000869A2" w:rsidRPr="00423F82">
        <w:rPr>
          <w:rFonts w:ascii="Times New Roman" w:hAnsi="Times New Roman" w:cs="Times New Roman"/>
          <w:b/>
          <w:sz w:val="24"/>
          <w:szCs w:val="24"/>
        </w:rPr>
        <w:t>Density in a Live Holding System for Food</w:t>
      </w:r>
      <w:r>
        <w:rPr>
          <w:rFonts w:ascii="Times New Roman" w:hAnsi="Times New Roman" w:cs="Times New Roman"/>
          <w:b/>
          <w:sz w:val="24"/>
          <w:szCs w:val="24"/>
        </w:rPr>
        <w:t xml:space="preserve"> Size Channel Catfish, </w:t>
      </w:r>
      <w:r w:rsidRPr="00467E00">
        <w:rPr>
          <w:rFonts w:ascii="Times New Roman" w:hAnsi="Times New Roman" w:cs="Times New Roman"/>
          <w:i/>
          <w:sz w:val="24"/>
          <w:szCs w:val="24"/>
        </w:rPr>
        <w:t>Ictalurus punctatus</w:t>
      </w:r>
      <w:r w:rsidR="000869A2" w:rsidRPr="00467E00">
        <w:rPr>
          <w:rFonts w:ascii="Times New Roman" w:hAnsi="Times New Roman" w:cs="Times New Roman"/>
          <w:i/>
          <w:sz w:val="24"/>
          <w:szCs w:val="24"/>
        </w:rPr>
        <w:t>.</w:t>
      </w:r>
    </w:p>
    <w:p w:rsidR="00423F82" w:rsidRDefault="00423F82" w:rsidP="008A1B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F82">
        <w:rPr>
          <w:rFonts w:ascii="Times New Roman" w:hAnsi="Times New Roman" w:cs="Times New Roman"/>
          <w:sz w:val="24"/>
          <w:szCs w:val="24"/>
        </w:rPr>
        <w:t>Sujan Bhattarai</w:t>
      </w:r>
      <w:r w:rsidRPr="00423F8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01BC6">
        <w:rPr>
          <w:rFonts w:ascii="Times New Roman" w:hAnsi="Times New Roman" w:cs="Times New Roman"/>
          <w:sz w:val="24"/>
          <w:szCs w:val="24"/>
        </w:rPr>
        <w:t>, Kenneth Semmens, Vikas Kumar</w:t>
      </w:r>
    </w:p>
    <w:p w:rsidR="000132DE" w:rsidRDefault="000132DE" w:rsidP="00013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Aquaculture Research Center</w:t>
      </w:r>
    </w:p>
    <w:p w:rsidR="00423F82" w:rsidRDefault="00423F82" w:rsidP="00A0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Kentucky State University</w:t>
      </w:r>
    </w:p>
    <w:p w:rsidR="00423F82" w:rsidRDefault="00423F82" w:rsidP="00A0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Frankfort, KY 40601 USA</w:t>
      </w:r>
    </w:p>
    <w:p w:rsidR="008A1B53" w:rsidRDefault="00A01BC6" w:rsidP="00A0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11BC7" w:rsidRPr="00EA0818">
          <w:rPr>
            <w:rStyle w:val="Hyperlink"/>
            <w:rFonts w:ascii="Times New Roman" w:hAnsi="Times New Roman" w:cs="Times New Roman"/>
            <w:sz w:val="24"/>
            <w:szCs w:val="24"/>
          </w:rPr>
          <w:t>Sujan.bhattarai@kysu.edu</w:t>
        </w:r>
      </w:hyperlink>
      <w:bookmarkStart w:id="0" w:name="_GoBack"/>
      <w:bookmarkEnd w:id="0"/>
    </w:p>
    <w:p w:rsidR="008A1B53" w:rsidRPr="008A1B53" w:rsidRDefault="008A1B53" w:rsidP="008A1B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E00" w:rsidRDefault="00BD5C7A" w:rsidP="00270A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Distributing locally grown food fish live may provide aquaculture producers in Kentucky a more profitable market opportunity than selling fish as a commodity.  </w:t>
      </w:r>
      <w:r w:rsidR="00884A8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olding fish live in recirculating systems </w:t>
      </w:r>
      <w:r w:rsidR="00884A8B">
        <w:rPr>
          <w:rFonts w:ascii="Times New Roman" w:hAnsi="Times New Roman" w:cs="Times New Roman"/>
          <w:sz w:val="24"/>
          <w:szCs w:val="24"/>
        </w:rPr>
        <w:t xml:space="preserve">will be required for this pathway to be successful.  In this study </w:t>
      </w:r>
      <w:r w:rsidR="00884A8B" w:rsidRPr="00884A8B">
        <w:rPr>
          <w:rFonts w:ascii="Times New Roman" w:hAnsi="Times New Roman" w:cs="Times New Roman"/>
          <w:sz w:val="24"/>
          <w:szCs w:val="24"/>
        </w:rPr>
        <w:t>investigat</w:t>
      </w:r>
      <w:r w:rsidR="00884A8B">
        <w:rPr>
          <w:rFonts w:ascii="Times New Roman" w:hAnsi="Times New Roman" w:cs="Times New Roman"/>
          <w:sz w:val="24"/>
          <w:szCs w:val="24"/>
        </w:rPr>
        <w:t xml:space="preserve">ors evaluated water quality and physiology of Channel Catfish, held live at two stocking densities: </w:t>
      </w:r>
      <w:r w:rsidR="00BB153E" w:rsidRPr="00327CBD">
        <w:rPr>
          <w:rFonts w:ascii="Times New Roman" w:hAnsi="Times New Roman" w:cs="Times New Roman"/>
          <w:sz w:val="24"/>
          <w:szCs w:val="24"/>
        </w:rPr>
        <w:t>20 kg/ m</w:t>
      </w:r>
      <w:r w:rsidR="00BB153E" w:rsidRPr="00327C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153E" w:rsidRPr="00327CBD">
        <w:rPr>
          <w:rFonts w:ascii="Times New Roman" w:hAnsi="Times New Roman" w:cs="Times New Roman"/>
          <w:sz w:val="24"/>
          <w:szCs w:val="24"/>
        </w:rPr>
        <w:t xml:space="preserve"> and 40 kg/ m</w:t>
      </w:r>
      <w:r w:rsidR="00BB153E" w:rsidRPr="00327C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67E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A98" w:rsidRDefault="006A0704" w:rsidP="00270A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Catfish with a mean weight of 0.76 kg</w:t>
      </w:r>
      <w:r w:rsidR="0062605F">
        <w:rPr>
          <w:rFonts w:ascii="Times New Roman" w:hAnsi="Times New Roman" w:cs="Times New Roman"/>
          <w:sz w:val="24"/>
          <w:szCs w:val="24"/>
        </w:rPr>
        <w:t xml:space="preserve"> were stocked in recirculating aquaculture systems </w:t>
      </w:r>
      <w:r w:rsidR="000132DE">
        <w:rPr>
          <w:rFonts w:ascii="Times New Roman" w:hAnsi="Times New Roman" w:cs="Times New Roman"/>
          <w:sz w:val="24"/>
          <w:szCs w:val="24"/>
        </w:rPr>
        <w:t>with a</w:t>
      </w:r>
      <w:r w:rsidR="00C227B4">
        <w:rPr>
          <w:rFonts w:ascii="Times New Roman" w:hAnsi="Times New Roman" w:cs="Times New Roman"/>
          <w:sz w:val="24"/>
          <w:szCs w:val="24"/>
        </w:rPr>
        <w:t xml:space="preserve"> 17 L bead filter </w:t>
      </w:r>
      <w:r w:rsidR="001240D8">
        <w:rPr>
          <w:rFonts w:ascii="Times New Roman" w:hAnsi="Times New Roman" w:cs="Times New Roman"/>
          <w:sz w:val="24"/>
          <w:szCs w:val="24"/>
        </w:rPr>
        <w:t>after</w:t>
      </w:r>
      <w:r w:rsidR="0062605F">
        <w:rPr>
          <w:rFonts w:ascii="Times New Roman" w:hAnsi="Times New Roman" w:cs="Times New Roman"/>
          <w:sz w:val="24"/>
          <w:szCs w:val="24"/>
        </w:rPr>
        <w:t xml:space="preserve"> simulated </w:t>
      </w:r>
      <w:r w:rsidR="001240D8">
        <w:rPr>
          <w:rFonts w:ascii="Times New Roman" w:hAnsi="Times New Roman" w:cs="Times New Roman"/>
          <w:sz w:val="24"/>
          <w:szCs w:val="24"/>
        </w:rPr>
        <w:t>haulin</w:t>
      </w:r>
      <w:r w:rsidR="00AE6219">
        <w:rPr>
          <w:rFonts w:ascii="Times New Roman" w:hAnsi="Times New Roman" w:cs="Times New Roman"/>
          <w:sz w:val="24"/>
          <w:szCs w:val="24"/>
        </w:rPr>
        <w:t>g for five hours</w:t>
      </w:r>
      <w:r w:rsidR="00467E00">
        <w:rPr>
          <w:rFonts w:ascii="Times New Roman" w:hAnsi="Times New Roman" w:cs="Times New Roman"/>
          <w:sz w:val="24"/>
          <w:szCs w:val="24"/>
        </w:rPr>
        <w:t>.</w:t>
      </w:r>
      <w:r w:rsidR="000132DE">
        <w:rPr>
          <w:rFonts w:ascii="Times New Roman" w:hAnsi="Times New Roman" w:cs="Times New Roman"/>
          <w:sz w:val="24"/>
          <w:szCs w:val="24"/>
        </w:rPr>
        <w:t xml:space="preserve"> </w:t>
      </w:r>
      <w:r w:rsidR="00270A92">
        <w:rPr>
          <w:rFonts w:ascii="Times New Roman" w:hAnsi="Times New Roman" w:cs="Times New Roman"/>
          <w:sz w:val="24"/>
          <w:szCs w:val="24"/>
        </w:rPr>
        <w:t xml:space="preserve">Water quality for each holding tank was measured </w:t>
      </w:r>
      <w:r w:rsidR="00467E00">
        <w:rPr>
          <w:rFonts w:ascii="Times New Roman" w:hAnsi="Times New Roman" w:cs="Times New Roman"/>
          <w:sz w:val="24"/>
          <w:szCs w:val="24"/>
        </w:rPr>
        <w:t xml:space="preserve">at </w:t>
      </w:r>
      <w:r w:rsidR="00270A92">
        <w:rPr>
          <w:rFonts w:ascii="Times New Roman" w:hAnsi="Times New Roman" w:cs="Times New Roman"/>
          <w:sz w:val="24"/>
          <w:szCs w:val="24"/>
        </w:rPr>
        <w:t>stocking (</w:t>
      </w:r>
      <w:r w:rsidR="00A400C3">
        <w:rPr>
          <w:rFonts w:ascii="Times New Roman" w:hAnsi="Times New Roman" w:cs="Times New Roman"/>
          <w:sz w:val="24"/>
          <w:szCs w:val="24"/>
        </w:rPr>
        <w:t>T</w:t>
      </w:r>
      <w:r w:rsidR="00270A92">
        <w:rPr>
          <w:rFonts w:ascii="Times New Roman" w:hAnsi="Times New Roman" w:cs="Times New Roman"/>
          <w:sz w:val="24"/>
          <w:szCs w:val="24"/>
        </w:rPr>
        <w:t>ime 0), and daily thereafter (24, 48, 72, 96, 120, 144, 168, and 192</w:t>
      </w:r>
      <w:r w:rsidR="00A400C3">
        <w:rPr>
          <w:rFonts w:ascii="Times New Roman" w:hAnsi="Times New Roman" w:cs="Times New Roman"/>
          <w:sz w:val="24"/>
          <w:szCs w:val="24"/>
        </w:rPr>
        <w:t xml:space="preserve"> hours</w:t>
      </w:r>
      <w:r w:rsidR="00270A92">
        <w:rPr>
          <w:rFonts w:ascii="Times New Roman" w:hAnsi="Times New Roman" w:cs="Times New Roman"/>
          <w:sz w:val="24"/>
          <w:szCs w:val="24"/>
        </w:rPr>
        <w:t xml:space="preserve">). Total ammonia nitrogen, </w:t>
      </w:r>
      <w:r w:rsidR="00270A92" w:rsidRPr="00327CBD">
        <w:rPr>
          <w:rFonts w:ascii="Times New Roman" w:hAnsi="Times New Roman" w:cs="Times New Roman"/>
          <w:sz w:val="24"/>
          <w:szCs w:val="24"/>
        </w:rPr>
        <w:t>nitrite, nitrate, t</w:t>
      </w:r>
      <w:r w:rsidR="00270A92">
        <w:rPr>
          <w:rFonts w:ascii="Times New Roman" w:hAnsi="Times New Roman" w:cs="Times New Roman"/>
          <w:sz w:val="24"/>
          <w:szCs w:val="24"/>
        </w:rPr>
        <w:t>emperature, dissolved oxygen</w:t>
      </w:r>
      <w:r w:rsidR="00467E00">
        <w:rPr>
          <w:rFonts w:ascii="Times New Roman" w:hAnsi="Times New Roman" w:cs="Times New Roman"/>
          <w:sz w:val="24"/>
          <w:szCs w:val="24"/>
        </w:rPr>
        <w:t>,</w:t>
      </w:r>
      <w:r w:rsidR="00270A92">
        <w:rPr>
          <w:rFonts w:ascii="Times New Roman" w:hAnsi="Times New Roman" w:cs="Times New Roman"/>
          <w:sz w:val="24"/>
          <w:szCs w:val="24"/>
        </w:rPr>
        <w:t xml:space="preserve"> p</w:t>
      </w:r>
      <w:r w:rsidR="007E4B46">
        <w:rPr>
          <w:rFonts w:ascii="Times New Roman" w:hAnsi="Times New Roman" w:cs="Times New Roman"/>
          <w:sz w:val="24"/>
          <w:szCs w:val="24"/>
        </w:rPr>
        <w:t>H and conductivity was</w:t>
      </w:r>
      <w:r w:rsidR="00270A92" w:rsidRPr="00327CBD">
        <w:rPr>
          <w:rFonts w:ascii="Times New Roman" w:hAnsi="Times New Roman" w:cs="Times New Roman"/>
          <w:sz w:val="24"/>
          <w:szCs w:val="24"/>
        </w:rPr>
        <w:t xml:space="preserve"> measured daily while alkalinity, hardness, CO</w:t>
      </w:r>
      <w:r w:rsidR="00270A92" w:rsidRPr="00327CB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7E4B46">
        <w:rPr>
          <w:rFonts w:ascii="Times New Roman" w:hAnsi="Times New Roman" w:cs="Times New Roman"/>
          <w:sz w:val="24"/>
          <w:szCs w:val="24"/>
        </w:rPr>
        <w:t>and turbidity was</w:t>
      </w:r>
      <w:r w:rsidR="00270A92" w:rsidRPr="00327CBD">
        <w:rPr>
          <w:rFonts w:ascii="Times New Roman" w:hAnsi="Times New Roman" w:cs="Times New Roman"/>
          <w:sz w:val="24"/>
          <w:szCs w:val="24"/>
        </w:rPr>
        <w:t xml:space="preserve"> measured every </w:t>
      </w:r>
      <w:r w:rsidR="00270A92">
        <w:rPr>
          <w:rFonts w:ascii="Times New Roman" w:hAnsi="Times New Roman" w:cs="Times New Roman"/>
          <w:sz w:val="24"/>
          <w:szCs w:val="24"/>
        </w:rPr>
        <w:t xml:space="preserve">other </w:t>
      </w:r>
      <w:r w:rsidR="00270A92" w:rsidRPr="00327CBD">
        <w:rPr>
          <w:rFonts w:ascii="Times New Roman" w:hAnsi="Times New Roman" w:cs="Times New Roman"/>
          <w:sz w:val="24"/>
          <w:szCs w:val="24"/>
        </w:rPr>
        <w:t>day.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74BF" w:rsidRDefault="006A0704" w:rsidP="00270A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ammonia nitrogen increased</w:t>
      </w:r>
      <w:r w:rsidR="003C45F3">
        <w:rPr>
          <w:rFonts w:ascii="Times New Roman" w:hAnsi="Times New Roman" w:cs="Times New Roman"/>
          <w:sz w:val="24"/>
          <w:szCs w:val="24"/>
        </w:rPr>
        <w:t xml:space="preserve"> over time </w:t>
      </w:r>
      <w:r>
        <w:rPr>
          <w:rFonts w:ascii="Times New Roman" w:hAnsi="Times New Roman" w:cs="Times New Roman"/>
          <w:sz w:val="24"/>
          <w:szCs w:val="24"/>
        </w:rPr>
        <w:t xml:space="preserve">at the higher density. In both treatments, </w:t>
      </w:r>
      <w:r w:rsidR="003C45F3">
        <w:rPr>
          <w:rFonts w:ascii="Times New Roman" w:hAnsi="Times New Roman" w:cs="Times New Roman"/>
          <w:sz w:val="24"/>
          <w:szCs w:val="24"/>
        </w:rPr>
        <w:t xml:space="preserve">alkalinity and </w:t>
      </w:r>
      <w:r>
        <w:rPr>
          <w:rFonts w:ascii="Times New Roman" w:hAnsi="Times New Roman" w:cs="Times New Roman"/>
          <w:sz w:val="24"/>
          <w:szCs w:val="24"/>
        </w:rPr>
        <w:t>pH declined</w:t>
      </w:r>
      <w:r w:rsidR="00A01BC6">
        <w:rPr>
          <w:rFonts w:ascii="Times New Roman" w:hAnsi="Times New Roman" w:cs="Times New Roman"/>
          <w:sz w:val="24"/>
          <w:szCs w:val="24"/>
        </w:rPr>
        <w:t xml:space="preserve"> over time. </w:t>
      </w:r>
      <w:r w:rsidR="003C45F3">
        <w:rPr>
          <w:rFonts w:ascii="Times New Roman" w:hAnsi="Times New Roman" w:cs="Times New Roman"/>
          <w:sz w:val="24"/>
          <w:szCs w:val="24"/>
        </w:rPr>
        <w:t>With this reduction, unionized ammonia peaked at 48 hours and remained below .005 mg/L thereafter.</w:t>
      </w:r>
      <w:r w:rsidR="00C227B4">
        <w:rPr>
          <w:rFonts w:ascii="Times New Roman" w:hAnsi="Times New Roman" w:cs="Times New Roman"/>
          <w:sz w:val="24"/>
          <w:szCs w:val="24"/>
        </w:rPr>
        <w:t xml:space="preserve"> </w:t>
      </w:r>
      <w:r w:rsidR="003C45F3">
        <w:rPr>
          <w:rFonts w:ascii="Times New Roman" w:hAnsi="Times New Roman" w:cs="Times New Roman"/>
          <w:sz w:val="24"/>
          <w:szCs w:val="24"/>
        </w:rPr>
        <w:t xml:space="preserve"> </w:t>
      </w:r>
      <w:r w:rsidR="00C227B4">
        <w:rPr>
          <w:rFonts w:ascii="Times New Roman" w:hAnsi="Times New Roman" w:cs="Times New Roman"/>
          <w:sz w:val="24"/>
          <w:szCs w:val="24"/>
        </w:rPr>
        <w:t>An average water temperature of 25</w:t>
      </w:r>
      <w:r w:rsidR="009C6F86">
        <w:rPr>
          <w:rFonts w:ascii="Calibri" w:hAnsi="Calibri" w:cs="Times New Roman"/>
          <w:sz w:val="24"/>
          <w:szCs w:val="24"/>
        </w:rPr>
        <w:t>⁰</w:t>
      </w:r>
      <w:r w:rsidR="00C227B4">
        <w:rPr>
          <w:rFonts w:ascii="Times New Roman" w:hAnsi="Times New Roman" w:cs="Times New Roman"/>
          <w:sz w:val="24"/>
          <w:szCs w:val="24"/>
        </w:rPr>
        <w:t>C was conducive to biofilter performance.</w:t>
      </w:r>
    </w:p>
    <w:p w:rsidR="003C45F3" w:rsidRDefault="00A05461" w:rsidP="00964A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respect to low and high density treatments, mean shrinkage </w:t>
      </w:r>
      <w:r w:rsidR="009C6F86">
        <w:rPr>
          <w:rFonts w:ascii="Times New Roman" w:hAnsi="Times New Roman" w:cs="Times New Roman"/>
          <w:sz w:val="24"/>
          <w:szCs w:val="24"/>
        </w:rPr>
        <w:t xml:space="preserve">by weight </w:t>
      </w:r>
      <w:r>
        <w:rPr>
          <w:rFonts w:ascii="Times New Roman" w:hAnsi="Times New Roman" w:cs="Times New Roman"/>
          <w:sz w:val="24"/>
          <w:szCs w:val="24"/>
        </w:rPr>
        <w:t xml:space="preserve">was 8% and 7%; and mortality was 4.6% and 1%. Bites and scrapes were evident on fish during the experiment.  </w:t>
      </w:r>
    </w:p>
    <w:p w:rsidR="00A05461" w:rsidRDefault="00F94E83" w:rsidP="00A40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4A98">
        <w:rPr>
          <w:noProof/>
        </w:rPr>
        <w:drawing>
          <wp:inline distT="0" distB="0" distL="0" distR="0" wp14:anchorId="62921836" wp14:editId="4E761329">
            <wp:extent cx="3943350" cy="2152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0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DD"/>
    <w:rsid w:val="00006DC0"/>
    <w:rsid w:val="000132DE"/>
    <w:rsid w:val="000869A2"/>
    <w:rsid w:val="001240D8"/>
    <w:rsid w:val="00270A92"/>
    <w:rsid w:val="00293E8D"/>
    <w:rsid w:val="00317701"/>
    <w:rsid w:val="00324781"/>
    <w:rsid w:val="003A06CF"/>
    <w:rsid w:val="003A4360"/>
    <w:rsid w:val="003C45F3"/>
    <w:rsid w:val="00423F82"/>
    <w:rsid w:val="00467E00"/>
    <w:rsid w:val="005436C4"/>
    <w:rsid w:val="00553E2C"/>
    <w:rsid w:val="005B410A"/>
    <w:rsid w:val="00613DF0"/>
    <w:rsid w:val="0062605F"/>
    <w:rsid w:val="006A0704"/>
    <w:rsid w:val="006F74BF"/>
    <w:rsid w:val="007341C4"/>
    <w:rsid w:val="00762EB6"/>
    <w:rsid w:val="007E4B46"/>
    <w:rsid w:val="00811BC7"/>
    <w:rsid w:val="00884A8B"/>
    <w:rsid w:val="008A1B53"/>
    <w:rsid w:val="008F30DD"/>
    <w:rsid w:val="0091219C"/>
    <w:rsid w:val="00964A98"/>
    <w:rsid w:val="009C6F86"/>
    <w:rsid w:val="00A01BC6"/>
    <w:rsid w:val="00A05461"/>
    <w:rsid w:val="00A33BF4"/>
    <w:rsid w:val="00A400C3"/>
    <w:rsid w:val="00AE6219"/>
    <w:rsid w:val="00B53261"/>
    <w:rsid w:val="00BB153E"/>
    <w:rsid w:val="00BD5C7A"/>
    <w:rsid w:val="00C10E93"/>
    <w:rsid w:val="00C227B4"/>
    <w:rsid w:val="00C70E63"/>
    <w:rsid w:val="00C71372"/>
    <w:rsid w:val="00D06D44"/>
    <w:rsid w:val="00F707EB"/>
    <w:rsid w:val="00F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097EB-9E97-454B-8327-C8B6A570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B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hyperlink" Target="mailto:Sujan.bhattarai@kysu.ed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Unionized</a:t>
            </a:r>
            <a:r>
              <a:rPr lang="en-US" baseline="0"/>
              <a:t> ammonia (mg/L)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908491511024887"/>
          <c:y val="0.14768215919912667"/>
          <c:w val="0.76012219426928485"/>
          <c:h val="0.662553593844247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Summary!$H$2:$I$2</c:f>
              <c:strCache>
                <c:ptCount val="2"/>
                <c:pt idx="0">
                  <c:v>20 kg/m3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Summary!$C$4:$K$4</c:f>
              <c:numCache>
                <c:formatCode>General</c:formatCode>
                <c:ptCount val="9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  <c:pt idx="4">
                  <c:v>96</c:v>
                </c:pt>
                <c:pt idx="5">
                  <c:v>120</c:v>
                </c:pt>
                <c:pt idx="6">
                  <c:v>144</c:v>
                </c:pt>
                <c:pt idx="7">
                  <c:v>168</c:v>
                </c:pt>
                <c:pt idx="8">
                  <c:v>192</c:v>
                </c:pt>
              </c:numCache>
            </c:numRef>
          </c:cat>
          <c:val>
            <c:numRef>
              <c:f>Summary!$C$20:$K$20</c:f>
              <c:numCache>
                <c:formatCode>0.0000</c:formatCode>
                <c:ptCount val="9"/>
                <c:pt idx="0">
                  <c:v>1.3666666666666669E-3</c:v>
                </c:pt>
                <c:pt idx="1">
                  <c:v>7.6E-3</c:v>
                </c:pt>
                <c:pt idx="2">
                  <c:v>1.9533333333333333E-2</c:v>
                </c:pt>
                <c:pt idx="3">
                  <c:v>6.566666666666666E-3</c:v>
                </c:pt>
                <c:pt idx="4">
                  <c:v>1.6000000000000001E-3</c:v>
                </c:pt>
                <c:pt idx="5">
                  <c:v>9.3333333333333332E-4</c:v>
                </c:pt>
                <c:pt idx="6">
                  <c:v>2.3333333333333333E-4</c:v>
                </c:pt>
                <c:pt idx="7">
                  <c:v>9.3333333333333322E-4</c:v>
                </c:pt>
                <c:pt idx="8">
                  <c:v>3.3333333333333332E-4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66-4982-9BFE-5D6CDE79E748}"/>
            </c:ext>
          </c:extLst>
        </c:ser>
        <c:ser>
          <c:idx val="1"/>
          <c:order val="1"/>
          <c:tx>
            <c:strRef>
              <c:f>Summary!$Q$2:$R$2</c:f>
              <c:strCache>
                <c:ptCount val="2"/>
                <c:pt idx="0">
                  <c:v>40 kg/m3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Summary!$C$4:$K$4</c:f>
              <c:numCache>
                <c:formatCode>General</c:formatCode>
                <c:ptCount val="9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  <c:pt idx="4">
                  <c:v>96</c:v>
                </c:pt>
                <c:pt idx="5">
                  <c:v>120</c:v>
                </c:pt>
                <c:pt idx="6">
                  <c:v>144</c:v>
                </c:pt>
                <c:pt idx="7">
                  <c:v>168</c:v>
                </c:pt>
                <c:pt idx="8">
                  <c:v>192</c:v>
                </c:pt>
              </c:numCache>
            </c:numRef>
          </c:cat>
          <c:val>
            <c:numRef>
              <c:f>Summary!$N$20:$V$20</c:f>
              <c:numCache>
                <c:formatCode>0.0000</c:formatCode>
                <c:ptCount val="9"/>
                <c:pt idx="0">
                  <c:v>1.4333333333333333E-3</c:v>
                </c:pt>
                <c:pt idx="1">
                  <c:v>7.1333333333333344E-3</c:v>
                </c:pt>
                <c:pt idx="2">
                  <c:v>1.3600000000000001E-2</c:v>
                </c:pt>
                <c:pt idx="3">
                  <c:v>2.133333333333333E-3</c:v>
                </c:pt>
                <c:pt idx="4">
                  <c:v>5.666666666666666E-4</c:v>
                </c:pt>
                <c:pt idx="5">
                  <c:v>9.3333333333333322E-4</c:v>
                </c:pt>
                <c:pt idx="6">
                  <c:v>1.4999999999999998E-3</c:v>
                </c:pt>
                <c:pt idx="7">
                  <c:v>4.3333333333333331E-3</c:v>
                </c:pt>
                <c:pt idx="8">
                  <c:v>1.8000000000000002E-3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66-4982-9BFE-5D6CDE79E7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9541704"/>
        <c:axId val="323014496"/>
      </c:barChart>
      <c:catAx>
        <c:axId val="3295417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Hours after stocking</a:t>
                </a:r>
              </a:p>
            </c:rich>
          </c:tx>
          <c:layout>
            <c:manualLayout>
              <c:xMode val="edge"/>
              <c:yMode val="edge"/>
              <c:x val="0.33667260268589355"/>
              <c:y val="0.893475449715127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014496"/>
        <c:crosses val="autoZero"/>
        <c:auto val="1"/>
        <c:lblAlgn val="ctr"/>
        <c:lblOffset val="100"/>
        <c:noMultiLvlLbl val="0"/>
      </c:catAx>
      <c:valAx>
        <c:axId val="32301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mg/L</a:t>
                </a:r>
              </a:p>
            </c:rich>
          </c:tx>
          <c:layout>
            <c:manualLayout>
              <c:xMode val="edge"/>
              <c:yMode val="edge"/>
              <c:x val="8.7253223781809872E-3"/>
              <c:y val="0.426497572759157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54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8481088414672799"/>
          <c:y val="0.17395257008803103"/>
          <c:w val="0.34466963368709347"/>
          <c:h val="9.95582189394467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6709-2E6E-4E08-9D67-5166C939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Bhattarai, Sujan</dc:creator>
  <cp:keywords/>
  <dc:description/>
  <cp:lastModifiedBy>Bhattarai, Sujan</cp:lastModifiedBy>
  <cp:revision>3</cp:revision>
  <dcterms:created xsi:type="dcterms:W3CDTF">2017-09-29T19:22:00Z</dcterms:created>
  <dcterms:modified xsi:type="dcterms:W3CDTF">2017-09-29T19:52:00Z</dcterms:modified>
</cp:coreProperties>
</file>