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42" w:rsidRDefault="00954D64">
      <w:r w:rsidRPr="00954D64">
        <w:t xml:space="preserve">Too often, gaps in foundational knowledge limit student success in higher-level skills and courses.  Fortunately, the flipped classroom offers unique opportunities to address these foundational weaknesses.  This presentation will highlight a blend of active-learning approaches used to address these challenges in introductory courses, including in-class polling, speed drills, and new digital resources that emphasize low-level knowledge, recognition, and skills.  </w:t>
      </w:r>
      <w:bookmarkStart w:id="0" w:name="_GoBack"/>
      <w:bookmarkEnd w:id="0"/>
    </w:p>
    <w:sectPr w:rsidR="003C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64"/>
    <w:rsid w:val="000E4E55"/>
    <w:rsid w:val="00954D64"/>
    <w:rsid w:val="009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26EBC-CA2B-4263-955D-5FA25223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Murray State University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krevell</dc:creator>
  <cp:keywords/>
  <dc:description/>
  <cp:lastModifiedBy>krevell</cp:lastModifiedBy>
  <cp:revision>1</cp:revision>
  <dcterms:created xsi:type="dcterms:W3CDTF">2017-10-06T17:26:00Z</dcterms:created>
  <dcterms:modified xsi:type="dcterms:W3CDTF">2017-10-06T17:26:00Z</dcterms:modified>
</cp:coreProperties>
</file>